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Arial" w:cs="Arial" w:eastAsia="Arial" w:hAnsi="Arial"/>
          <w:b/>
          <w:bCs/>
          <w:sz w:val="36"/>
          <w:szCs w:val="36"/>
        </w:rPr>
        <w:t xml:space="preserve">Elternvereinbarung Wechselmodell — Deutschland</w:t>
      </w:r>
    </w:p>
    <w:p>
      <w:pPr>
        <w:spacing w:after="120"/>
      </w:pPr>
      <w:r>
        <w:rPr>
          <w:rFonts w:ascii="Arial" w:cs="Arial" w:eastAsia="Arial" w:hAnsi="Arial"/>
          <w:i/>
          <w:iCs/>
          <w:color w:val="6B6358"/>
          <w:sz w:val="19"/>
          <w:szCs w:val="19"/>
        </w:rPr>
        <w:t xml:space="preserve">Vorlage für die paritätische Betreuung (etwa 50/50) nach der Trennung. Anpassbar, keine Rechtsberatung.</w:t>
      </w:r>
    </w:p>
    <w:p>
      <w:pPr>
        <w:spacing w:after="120"/>
      </w:pPr>
      <w:r>
        <w:rPr>
          <w:rFonts w:ascii="Arial" w:cs="Arial" w:eastAsia="Arial" w:hAnsi="Arial"/>
          <w:i/>
          <w:iCs/>
          <w:color w:val="6B6358"/>
          <w:sz w:val="17"/>
          <w:szCs w:val="17"/>
        </w:rPr>
        <w:t xml:space="preserve">Rechtsgrundlage: BGB §§ 1626, 1627 (gemeinsame Sorge), 1684 (Umgang); Melderecht §§ 21, 22 BMG; Kindergeld § 64 EStG.</w:t>
      </w:r>
    </w:p>
    <w:p>
      <w:pPr>
        <w:pStyle w:val="Heading1"/>
      </w:pPr>
      <w:r>
        <w:rPr>
          <w:rFonts w:ascii="Arial" w:cs="Arial" w:eastAsia="Arial" w:hAnsi="Arial"/>
          <w:b/>
          <w:bCs/>
          <w:color w:val="7B3F4E"/>
          <w:sz w:val="25"/>
          <w:szCs w:val="25"/>
        </w:rPr>
        <w:t xml:space="preserve">1. Beteiligte</w:t>
      </w:r>
    </w:p>
    <w:p>
      <w:pPr>
        <w:spacing w:after="120"/>
      </w:pPr>
      <w:r>
        <w:rPr>
          <w:rFonts w:ascii="Arial" w:cs="Arial" w:eastAsia="Arial" w:hAnsi="Arial"/>
          <w:color w:val="6B6358"/>
          <w:sz w:val="19"/>
          <w:szCs w:val="19"/>
        </w:rPr>
        <w:t xml:space="preserve">Namen und Anschriften beider Eltern, Name und Geburtsdatum jedes Kindes.</w:t>
      </w:r>
    </w:p>
    <w:p>
      <w:pPr>
        <w:keepNext/>
        <w:spacing w:after="0" w:before="120"/>
      </w:pPr>
      <w:r>
        <w:rPr>
          <w:rFonts w:ascii="Arial" w:cs="Arial" w:eastAsia="Arial" w:hAnsi="Arial"/>
          <w:color w:val="6B6358"/>
          <w:sz w:val="19"/>
          <w:szCs w:val="19"/>
        </w:rPr>
        <w:t xml:space="preserve">Elternteil A (Name, Anschrift)</w:t>
      </w:r>
    </w:p>
    <w:p>
      <w:pPr>
        <w:pBdr>
          <w:bottom w:val="single" w:color="1C1812" w:sz="6" w:space="4"/>
        </w:pBdr>
        <w:spacing w:after="80" w:before="240"/>
        <w:ind w:right="0"/>
      </w:pPr>
    </w:p>
    <w:p>
      <w:pPr>
        <w:keepNext/>
        <w:spacing w:after="0" w:before="120"/>
      </w:pPr>
      <w:r>
        <w:rPr>
          <w:rFonts w:ascii="Arial" w:cs="Arial" w:eastAsia="Arial" w:hAnsi="Arial"/>
          <w:color w:val="6B6358"/>
          <w:sz w:val="19"/>
          <w:szCs w:val="19"/>
        </w:rPr>
        <w:t xml:space="preserve">Elternteil B (Name, Anschrift)</w:t>
      </w:r>
    </w:p>
    <w:p>
      <w:pPr>
        <w:pBdr>
          <w:bottom w:val="single" w:color="1C1812" w:sz="6" w:space="4"/>
        </w:pBdr>
        <w:spacing w:after="80" w:before="240"/>
        <w:ind w:right="0"/>
      </w:pPr>
    </w:p>
    <w:p>
      <w:pPr>
        <w:keepNext/>
        <w:spacing w:after="0" w:before="120"/>
      </w:pPr>
      <w:r>
        <w:rPr>
          <w:rFonts w:ascii="Arial" w:cs="Arial" w:eastAsia="Arial" w:hAnsi="Arial"/>
          <w:color w:val="6B6358"/>
          <w:sz w:val="19"/>
          <w:szCs w:val="19"/>
        </w:rPr>
        <w:t xml:space="preserve">Kind / Kinder (Name, Geburtsdatum)</w:t>
      </w:r>
    </w:p>
    <w:p>
      <w:pPr>
        <w:pBdr>
          <w:bottom w:val="single" w:color="1C1812" w:sz="6" w:space="4"/>
        </w:pBdr>
        <w:spacing w:after="80" w:before="240"/>
        <w:ind w:right="0"/>
      </w:pPr>
    </w:p>
    <w:p>
      <w:pPr>
        <w:pStyle w:val="Heading1"/>
      </w:pPr>
      <w:r>
        <w:rPr>
          <w:rFonts w:ascii="Arial" w:cs="Arial" w:eastAsia="Arial" w:hAnsi="Arial"/>
          <w:b/>
          <w:bCs/>
          <w:color w:val="7B3F4E"/>
          <w:sz w:val="25"/>
          <w:szCs w:val="25"/>
        </w:rPr>
        <w:t xml:space="preserve">2. Betreuungsrhythmus</w:t>
      </w:r>
    </w:p>
    <w:p>
      <w:pPr>
        <w:spacing w:after="120"/>
      </w:pPr>
      <w:r>
        <w:rPr>
          <w:rFonts w:ascii="Arial" w:cs="Arial" w:eastAsia="Arial" w:hAnsi="Arial"/>
          <w:color w:val="6B6358"/>
          <w:sz w:val="19"/>
          <w:szCs w:val="19"/>
        </w:rPr>
        <w:t xml:space="preserve">Das Kind lebt etwa zu gleichen Teilen bei beiden Eltern. Rhythmus ankreuzen, Wechseltag und -zeit festlegen.</w:t>
      </w:r>
    </w:p>
    <w:p>
      <w:pPr>
        <w:tabs>
          <w:tab w:val="left" w:pos="360"/>
        </w:tabs>
        <w:spacing w:after="60" w:before="60"/>
        <w:ind w:lef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21"/>
          <w:szCs w:val="21"/>
        </w:rPr>
        <w:t xml:space="preserve">	7/7 — wochenweiser Wechsel, jede Woche bei einem Elternteil</w:t>
      </w:r>
    </w:p>
    <w:p>
      <w:pPr>
        <w:tabs>
          <w:tab w:val="left" w:pos="360"/>
        </w:tabs>
        <w:spacing w:after="60" w:before="60"/>
        <w:ind w:lef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21"/>
          <w:szCs w:val="21"/>
        </w:rPr>
        <w:t xml:space="preserve">	2-2-5-5 — feste Wochentage bei jedem Elternteil, Wochenenden im Wechsel</w:t>
      </w:r>
    </w:p>
    <w:p>
      <w:pPr>
        <w:tabs>
          <w:tab w:val="left" w:pos="360"/>
        </w:tabs>
        <w:spacing w:after="60" w:before="60"/>
        <w:ind w:lef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21"/>
          <w:szCs w:val="21"/>
        </w:rPr>
        <w:t xml:space="preserve">	2-2-3 — kurze Blöcke von 2, 2 und 3 Tagen, wöchentlich rotierend</w:t>
      </w:r>
    </w:p>
    <w:p>
      <w:pPr>
        <w:tabs>
          <w:tab w:val="left" w:pos="360"/>
        </w:tabs>
        <w:spacing w:after="60" w:before="60"/>
        <w:ind w:lef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21"/>
          <w:szCs w:val="21"/>
        </w:rPr>
        <w:t xml:space="preserve">	Anderer Rhythmus: ______________________________</w:t>
      </w:r>
    </w:p>
    <w:p>
      <w:pPr>
        <w:keepNext/>
        <w:spacing w:after="0" w:before="120"/>
      </w:pPr>
      <w:r>
        <w:rPr>
          <w:rFonts w:ascii="Arial" w:cs="Arial" w:eastAsia="Arial" w:hAnsi="Arial"/>
          <w:color w:val="6B6358"/>
          <w:sz w:val="19"/>
          <w:szCs w:val="19"/>
        </w:rPr>
        <w:t xml:space="preserve">Wechseltag</w:t>
      </w:r>
    </w:p>
    <w:p>
      <w:pPr>
        <w:pBdr>
          <w:bottom w:val="single" w:color="1C1812" w:sz="6" w:space="4"/>
        </w:pBdr>
        <w:spacing w:after="80" w:before="240"/>
        <w:ind w:right="5248"/>
      </w:pPr>
    </w:p>
    <w:p>
      <w:pPr>
        <w:keepNext/>
        <w:spacing w:after="0" w:before="120"/>
      </w:pPr>
      <w:r>
        <w:rPr>
          <w:rFonts w:ascii="Arial" w:cs="Arial" w:eastAsia="Arial" w:hAnsi="Arial"/>
          <w:color w:val="6B6358"/>
          <w:sz w:val="19"/>
          <w:szCs w:val="19"/>
        </w:rPr>
        <w:t xml:space="preserve">Wechselzeit (Uhrzeit)</w:t>
      </w:r>
    </w:p>
    <w:p>
      <w:pPr>
        <w:pBdr>
          <w:bottom w:val="single" w:color="1C1812" w:sz="6" w:space="4"/>
        </w:pBdr>
        <w:spacing w:after="80" w:before="240"/>
        <w:ind w:right="5248"/>
      </w:pPr>
    </w:p>
    <w:p>
      <w:pPr>
        <w:keepNext/>
        <w:spacing w:after="0" w:before="120"/>
      </w:pPr>
      <w:r>
        <w:rPr>
          <w:rFonts w:ascii="Arial" w:cs="Arial" w:eastAsia="Arial" w:hAnsi="Arial"/>
          <w:color w:val="6B6358"/>
          <w:sz w:val="19"/>
          <w:szCs w:val="19"/>
        </w:rPr>
        <w:t xml:space="preserve">Übergabeort (z. B. Schule, Kita, Wohnung)</w:t>
      </w:r>
    </w:p>
    <w:p>
      <w:pPr>
        <w:pBdr>
          <w:bottom w:val="single" w:color="1C1812" w:sz="6" w:space="4"/>
        </w:pBdr>
        <w:spacing w:after="80" w:before="240"/>
        <w:ind w:right="0"/>
      </w:pPr>
    </w:p>
    <w:p>
      <w:pPr>
        <w:keepNext/>
        <w:spacing w:after="0" w:before="120"/>
      </w:pPr>
      <w:r>
        <w:rPr>
          <w:rFonts w:ascii="Arial" w:cs="Arial" w:eastAsia="Arial" w:hAnsi="Arial"/>
          <w:color w:val="6B6358"/>
          <w:sz w:val="19"/>
          <w:szCs w:val="19"/>
        </w:rPr>
        <w:t xml:space="preserve">Beginn des Rhythmus (Datum, wer startet)</w:t>
      </w:r>
    </w:p>
    <w:p>
      <w:pPr>
        <w:pBdr>
          <w:bottom w:val="single" w:color="1C1812" w:sz="6" w:space="4"/>
        </w:pBdr>
        <w:spacing w:after="80" w:before="240"/>
        <w:ind w:right="0"/>
      </w:pPr>
    </w:p>
    <w:p>
      <w:pPr>
        <w:spacing w:after="120"/>
      </w:pPr>
      <w:r>
        <w:rPr>
          <w:rFonts w:ascii="Arial" w:cs="Arial" w:eastAsia="Arial" w:hAnsi="Arial"/>
          <w:i/>
          <w:iCs/>
          <w:color w:val="6B6358"/>
          <w:sz w:val="19"/>
          <w:szCs w:val="19"/>
        </w:rPr>
        <w:t xml:space="preserve">Was wechselt mit? Kleidung, Schulsachen, Medikamente, Kuscheltier, Ausweise:</w:t>
      </w:r>
    </w:p>
    <w:p>
      <w:pPr>
        <w:pBdr>
          <w:bottom w:val="single" w:color="D6CDC0" w:sz="4" w:space="4"/>
        </w:pBdr>
        <w:spacing w:after="0" w:before="200"/>
      </w:pPr>
    </w:p>
    <w:p>
      <w:pPr>
        <w:pBdr>
          <w:bottom w:val="single" w:color="D6CDC0" w:sz="4" w:space="4"/>
        </w:pBdr>
        <w:spacing w:after="0" w:before="200"/>
      </w:pPr>
    </w:p>
    <w:p>
      <w:pPr>
        <w:pStyle w:val="Heading1"/>
      </w:pPr>
      <w:r>
        <w:rPr>
          <w:rFonts w:ascii="Arial" w:cs="Arial" w:eastAsia="Arial" w:hAnsi="Arial"/>
          <w:b/>
          <w:bCs/>
          <w:color w:val="7B3F4E"/>
          <w:sz w:val="25"/>
          <w:szCs w:val="25"/>
        </w:rPr>
        <w:t xml:space="preserve">3. Ferien und Feiertage</w:t>
      </w:r>
    </w:p>
    <w:p>
      <w:pPr>
        <w:spacing w:after="120"/>
      </w:pPr>
      <w:r>
        <w:rPr>
          <w:rFonts w:ascii="Arial" w:cs="Arial" w:eastAsia="Arial" w:hAnsi="Arial"/>
          <w:color w:val="6B6358"/>
          <w:sz w:val="19"/>
          <w:szCs w:val="19"/>
        </w:rPr>
        <w:t xml:space="preserve">Ferien unterbrechen den Rhythmus. Danach läuft er wie vereinbart weiter (z. B. mit der Woche, die nach dem Plan an der Reihe ist).</w:t>
      </w:r>
    </w:p>
    <w:p>
      <w:pPr>
        <w:tabs>
          <w:tab w:val="left" w:pos="360"/>
        </w:tabs>
        <w:spacing w:after="60" w:before="60"/>
        <w:ind w:lef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21"/>
          <w:szCs w:val="21"/>
        </w:rPr>
        <w:t xml:space="preserve">	Schulferien hälftig, in Blöcken von ____ Wochen</w:t>
      </w:r>
    </w:p>
    <w:p>
      <w:pPr>
        <w:tabs>
          <w:tab w:val="left" w:pos="360"/>
        </w:tabs>
        <w:spacing w:after="60" w:before="60"/>
        <w:ind w:lef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21"/>
          <w:szCs w:val="21"/>
        </w:rPr>
        <w:t xml:space="preserve">	Weihnachten und Silvester im jährlichen Wechsel (gerade Jahre: A, ungerade Jahre: B)</w:t>
      </w:r>
    </w:p>
    <w:p>
      <w:pPr>
        <w:tabs>
          <w:tab w:val="left" w:pos="360"/>
        </w:tabs>
        <w:spacing w:after="60" w:before="60"/>
        <w:ind w:lef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21"/>
          <w:szCs w:val="21"/>
        </w:rPr>
        <w:t xml:space="preserve">	Ostern, Pfingsten und Brückentage im jährlichen Wechsel</w:t>
      </w:r>
    </w:p>
    <w:p>
      <w:pPr>
        <w:tabs>
          <w:tab w:val="left" w:pos="360"/>
        </w:tabs>
        <w:spacing w:after="60" w:before="60"/>
        <w:ind w:lef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21"/>
          <w:szCs w:val="21"/>
        </w:rPr>
        <w:t xml:space="preserve">	Geburtstag des Kindes: Besuch des anderen Elternteils möglich</w:t>
      </w:r>
    </w:p>
    <w:p>
      <w:pPr>
        <w:spacing w:after="120"/>
      </w:pPr>
      <w:r>
        <w:rPr>
          <w:rFonts w:ascii="Arial" w:cs="Arial" w:eastAsia="Arial" w:hAnsi="Arial"/>
          <w:i/>
          <w:iCs/>
          <w:color w:val="6B6358"/>
          <w:sz w:val="19"/>
          <w:szCs w:val="19"/>
        </w:rPr>
        <w:t xml:space="preserve">Urlaubsplanung bis spätestens (Datum je Jahr), Reisen ins Ausland:</w:t>
      </w:r>
    </w:p>
    <w:p>
      <w:pPr>
        <w:pBdr>
          <w:bottom w:val="single" w:color="D6CDC0" w:sz="4" w:space="4"/>
        </w:pBdr>
        <w:spacing w:after="0" w:before="200"/>
      </w:pPr>
    </w:p>
    <w:p>
      <w:pPr>
        <w:pBdr>
          <w:bottom w:val="single" w:color="D6CDC0" w:sz="4" w:space="4"/>
        </w:pBdr>
        <w:spacing w:after="0" w:before="200"/>
      </w:pPr>
    </w:p>
    <w:p>
      <w:pPr>
        <w:pBdr>
          <w:bottom w:val="single" w:color="D6CDC0" w:sz="4" w:space="4"/>
        </w:pBdr>
        <w:spacing w:after="0" w:before="200"/>
      </w:pPr>
    </w:p>
    <w:p>
      <w:pPr>
        <w:pStyle w:val="Heading1"/>
      </w:pPr>
      <w:r>
        <w:rPr>
          <w:rFonts w:ascii="Arial" w:cs="Arial" w:eastAsia="Arial" w:hAnsi="Arial"/>
          <w:b/>
          <w:bCs/>
          <w:color w:val="7B3F4E"/>
          <w:sz w:val="25"/>
          <w:szCs w:val="25"/>
        </w:rPr>
        <w:t xml:space="preserve">4. Entscheidungen und Alltag</w:t>
      </w:r>
    </w:p>
    <w:p>
      <w:pPr>
        <w:spacing w:after="120"/>
      </w:pPr>
      <w:r>
        <w:rPr>
          <w:rFonts w:ascii="Arial" w:cs="Arial" w:eastAsia="Arial" w:hAnsi="Arial"/>
          <w:color w:val="6B6358"/>
          <w:sz w:val="19"/>
          <w:szCs w:val="19"/>
        </w:rPr>
        <w:t xml:space="preserve">Entscheidungen von erheblicher Bedeutung (Schulwahl, größere medizinische Eingriffe, Umzug) treffen beide gemeinsam. Alltägliches entscheidet, wer das Kind gerade betreut.</w:t>
      </w:r>
    </w:p>
    <w:p>
      <w:pPr>
        <w:pBdr>
          <w:bottom w:val="single" w:color="D6CDC0" w:sz="4" w:space="4"/>
        </w:pBdr>
        <w:spacing w:after="0" w:before="200"/>
      </w:pPr>
    </w:p>
    <w:p>
      <w:pPr>
        <w:pBdr>
          <w:bottom w:val="single" w:color="D6CDC0" w:sz="4" w:space="4"/>
        </w:pBdr>
        <w:spacing w:after="0" w:before="200"/>
      </w:pPr>
    </w:p>
    <w:p>
      <w:pPr>
        <w:pBdr>
          <w:bottom w:val="single" w:color="D6CDC0" w:sz="4" w:space="4"/>
        </w:pBdr>
        <w:spacing w:after="0" w:before="200"/>
      </w:pPr>
    </w:p>
    <w:p>
      <w:pPr>
        <w:pStyle w:val="Heading1"/>
      </w:pPr>
      <w:r>
        <w:rPr>
          <w:rFonts w:ascii="Arial" w:cs="Arial" w:eastAsia="Arial" w:hAnsi="Arial"/>
          <w:b/>
          <w:bCs/>
          <w:color w:val="7B3F4E"/>
          <w:sz w:val="25"/>
          <w:szCs w:val="25"/>
        </w:rPr>
        <w:t xml:space="preserve">5. Meldeadresse · Hauptwohnung</w:t>
      </w:r>
    </w:p>
    <w:p>
      <w:pPr>
        <w:spacing w:after="120"/>
      </w:pPr>
      <w:r>
        <w:rPr>
          <w:rFonts w:ascii="Arial" w:cs="Arial" w:eastAsia="Arial" w:hAnsi="Arial"/>
          <w:color w:val="6B6358"/>
          <w:sz w:val="19"/>
          <w:szCs w:val="19"/>
        </w:rPr>
        <w:t xml:space="preserve">Das Kind hat melderechtlich genau eine Hauptwohnung, beim anderen Elternteil kann es mit Nebenwohnung gemeldet sein (§§ 21, 22 BMG). Nutzt es beide Wohnungen gleich, bestimmen die Eltern die Hauptwohnung gemeinsam.</w:t>
      </w:r>
    </w:p>
    <w:p>
      <w:pPr>
        <w:tabs>
          <w:tab w:val="left" w:pos="360"/>
        </w:tabs>
        <w:spacing w:after="60" w:before="60"/>
        <w:ind w:lef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21"/>
          <w:szCs w:val="21"/>
        </w:rPr>
        <w:t xml:space="preserve">	Hauptwohnung bei Elternteil A</w:t>
      </w:r>
    </w:p>
    <w:p>
      <w:pPr>
        <w:tabs>
          <w:tab w:val="left" w:pos="360"/>
        </w:tabs>
        <w:spacing w:after="60" w:before="60"/>
        <w:ind w:lef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21"/>
          <w:szCs w:val="21"/>
        </w:rPr>
        <w:t xml:space="preserve">	Hauptwohnung bei Elternteil B</w:t>
      </w:r>
    </w:p>
    <w:p>
      <w:pPr>
        <w:keepNext/>
        <w:spacing w:after="0" w:before="120"/>
      </w:pPr>
      <w:r>
        <w:rPr>
          <w:rFonts w:ascii="Arial" w:cs="Arial" w:eastAsia="Arial" w:hAnsi="Arial"/>
          <w:color w:val="6B6358"/>
          <w:sz w:val="19"/>
          <w:szCs w:val="19"/>
        </w:rPr>
        <w:t xml:space="preserve">Nebenwohnung gemeldet bei / angemeldet bis (Datum)</w:t>
      </w:r>
    </w:p>
    <w:p>
      <w:pPr>
        <w:pBdr>
          <w:bottom w:val="single" w:color="1C1812" w:sz="6" w:space="4"/>
        </w:pBdr>
        <w:spacing w:after="80" w:before="240"/>
        <w:ind w:right="0"/>
      </w:pPr>
    </w:p>
    <w:p>
      <w:pPr>
        <w:pStyle w:val="Heading1"/>
      </w:pPr>
      <w:r>
        <w:rPr>
          <w:rFonts w:ascii="Arial" w:cs="Arial" w:eastAsia="Arial" w:hAnsi="Arial"/>
          <w:b/>
          <w:bCs/>
          <w:color w:val="7B3F4E"/>
          <w:sz w:val="25"/>
          <w:szCs w:val="25"/>
        </w:rPr>
        <w:t xml:space="preserve">6. Schule und Kita</w:t>
      </w:r>
    </w:p>
    <w:p>
      <w:pPr>
        <w:spacing w:after="120"/>
      </w:pPr>
      <w:r>
        <w:rPr>
          <w:rFonts w:ascii="Arial" w:cs="Arial" w:eastAsia="Arial" w:hAnsi="Arial"/>
          <w:color w:val="6B6358"/>
          <w:sz w:val="19"/>
          <w:szCs w:val="19"/>
        </w:rPr>
        <w:t xml:space="preserve">Schulbezirk und Kita-Platz können an die Hauptwohnung anknüpfen; das regeln Länder und Kommunen unterschiedlich. Beide Eltern erhalten Informationen direkt.</w:t>
      </w:r>
    </w:p>
    <w:p>
      <w:pPr>
        <w:keepNext/>
        <w:spacing w:after="0" w:before="120"/>
      </w:pPr>
      <w:r>
        <w:rPr>
          <w:rFonts w:ascii="Arial" w:cs="Arial" w:eastAsia="Arial" w:hAnsi="Arial"/>
          <w:color w:val="6B6358"/>
          <w:sz w:val="19"/>
          <w:szCs w:val="19"/>
        </w:rPr>
        <w:t xml:space="preserve">Schule / Kita</w:t>
      </w:r>
    </w:p>
    <w:p>
      <w:pPr>
        <w:pBdr>
          <w:bottom w:val="single" w:color="1C1812" w:sz="6" w:space="4"/>
        </w:pBdr>
        <w:spacing w:after="80" w:before="240"/>
        <w:ind w:right="0"/>
      </w:pPr>
    </w:p>
    <w:p>
      <w:pPr>
        <w:keepNext/>
        <w:spacing w:after="0" w:before="120"/>
      </w:pPr>
      <w:r>
        <w:rPr>
          <w:rFonts w:ascii="Arial" w:cs="Arial" w:eastAsia="Arial" w:hAnsi="Arial"/>
          <w:color w:val="6B6358"/>
          <w:sz w:val="19"/>
          <w:szCs w:val="19"/>
        </w:rPr>
        <w:t xml:space="preserve">Elternabende, Sprechtage, Hausaufgaben: wer übernimmt was?</w:t>
      </w:r>
    </w:p>
    <w:p>
      <w:pPr>
        <w:pBdr>
          <w:bottom w:val="single" w:color="1C1812" w:sz="6" w:space="4"/>
        </w:pBdr>
        <w:spacing w:after="80" w:before="240"/>
        <w:ind w:right="0"/>
      </w:pPr>
    </w:p>
    <w:p>
      <w:pPr>
        <w:pBdr>
          <w:bottom w:val="single" w:color="D6CDC0" w:sz="4" w:space="4"/>
        </w:pBdr>
        <w:spacing w:after="0" w:before="200"/>
      </w:pPr>
    </w:p>
    <w:p>
      <w:pPr>
        <w:pBdr>
          <w:bottom w:val="single" w:color="D6CDC0" w:sz="4" w:space="4"/>
        </w:pBdr>
        <w:spacing w:after="0" w:before="200"/>
      </w:pPr>
    </w:p>
    <w:p>
      <w:pPr>
        <w:pStyle w:val="Heading1"/>
      </w:pPr>
      <w:r>
        <w:rPr>
          <w:rFonts w:ascii="Arial" w:cs="Arial" w:eastAsia="Arial" w:hAnsi="Arial"/>
          <w:b/>
          <w:bCs/>
          <w:color w:val="7B3F4E"/>
          <w:sz w:val="25"/>
          <w:szCs w:val="25"/>
        </w:rPr>
        <w:t xml:space="preserve">7. Kosten, Kindergeld, Unterhalt</w:t>
      </w:r>
    </w:p>
    <w:p>
      <w:pPr>
        <w:spacing w:after="120"/>
      </w:pPr>
      <w:r>
        <w:rPr>
          <w:rFonts w:ascii="Arial" w:cs="Arial" w:eastAsia="Arial" w:hAnsi="Arial"/>
          <w:color w:val="6B6358"/>
          <w:sz w:val="19"/>
          <w:szCs w:val="19"/>
        </w:rPr>
        <w:t xml:space="preserve">Im Wechselmodell haften beide Eltern für den Barunterhalt, anteilig nach ihren Einkommensverhältnissen (BGH, Beschluss vom 05.11.2014 – XII ZB 599/13). Wer mehr verdient, kann einen Ausgleich schulden. Kindergeld wird nur an einen Elternteil gezahlt (§ 64 EStG) und wird zwischen den Eltern ausgeglichen.</w:t>
      </w:r>
    </w:p>
    <w:p>
      <w:pPr>
        <w:keepNext/>
        <w:spacing w:after="0" w:before="120"/>
      </w:pPr>
      <w:r>
        <w:rPr>
          <w:rFonts w:ascii="Arial" w:cs="Arial" w:eastAsia="Arial" w:hAnsi="Arial"/>
          <w:color w:val="6B6358"/>
          <w:sz w:val="19"/>
          <w:szCs w:val="19"/>
        </w:rPr>
        <w:t xml:space="preserve">Kindergeld bezieht</w:t>
      </w:r>
    </w:p>
    <w:p>
      <w:pPr>
        <w:pBdr>
          <w:bottom w:val="single" w:color="1C1812" w:sz="6" w:space="4"/>
        </w:pBdr>
        <w:spacing w:after="80" w:before="240"/>
        <w:ind w:right="4849"/>
      </w:pPr>
    </w:p>
    <w:p>
      <w:pPr>
        <w:keepNext/>
        <w:spacing w:after="0" w:before="120"/>
      </w:pPr>
      <w:r>
        <w:rPr>
          <w:rFonts w:ascii="Arial" w:cs="Arial" w:eastAsia="Arial" w:hAnsi="Arial"/>
          <w:color w:val="6B6358"/>
          <w:sz w:val="19"/>
          <w:szCs w:val="19"/>
        </w:rPr>
        <w:t xml:space="preserve">Entlastungsbetrag (Steuerklasse II) nutzt</w:t>
      </w:r>
    </w:p>
    <w:p>
      <w:pPr>
        <w:pBdr>
          <w:bottom w:val="single" w:color="1C1812" w:sz="6" w:space="4"/>
        </w:pBdr>
        <w:spacing w:after="80" w:before="240"/>
        <w:ind w:right="4849"/>
      </w:pPr>
    </w:p>
    <w:p>
      <w:pPr>
        <w:keepNext/>
        <w:spacing w:after="0" w:before="120"/>
      </w:pPr>
      <w:r>
        <w:rPr>
          <w:rFonts w:ascii="Arial" w:cs="Arial" w:eastAsia="Arial" w:hAnsi="Arial"/>
          <w:color w:val="6B6358"/>
          <w:sz w:val="19"/>
          <w:szCs w:val="19"/>
        </w:rPr>
        <w:t xml:space="preserve">Monatliche Ausgleichszahlung (Betrag, von wem an wen, ab wann)</w:t>
      </w:r>
    </w:p>
    <w:p>
      <w:pPr>
        <w:pBdr>
          <w:bottom w:val="single" w:color="1C1812" w:sz="6" w:space="4"/>
        </w:pBdr>
        <w:spacing w:after="80" w:before="240"/>
        <w:ind w:right="0"/>
      </w:pPr>
    </w:p>
    <w:p>
      <w:pPr>
        <w:tabs>
          <w:tab w:val="left" w:pos="360"/>
        </w:tabs>
        <w:spacing w:after="60" w:before="60"/>
        <w:ind w:lef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21"/>
          <w:szCs w:val="21"/>
        </w:rPr>
        <w:t xml:space="preserve">	Größere Ausgaben (Kleidung, Klassenfahrt, Hobbys, Zahnspange) teilen wir 50/50</w:t>
      </w:r>
    </w:p>
    <w:p>
      <w:pPr>
        <w:tabs>
          <w:tab w:val="left" w:pos="360"/>
        </w:tabs>
        <w:spacing w:after="60" w:before="60"/>
        <w:ind w:lef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21"/>
          <w:szCs w:val="21"/>
        </w:rPr>
        <w:t xml:space="preserve">	Größere Ausgaben teilen wir nach Einkommen: A ____ % / B ____ %</w:t>
      </w:r>
    </w:p>
    <w:p>
      <w:pPr>
        <w:spacing w:after="120"/>
      </w:pPr>
      <w:r>
        <w:rPr>
          <w:rFonts w:ascii="Arial" w:cs="Arial" w:eastAsia="Arial" w:hAnsi="Arial"/>
          <w:i/>
          <w:iCs/>
          <w:color w:val="6B6358"/>
          <w:sz w:val="19"/>
          <w:szCs w:val="19"/>
        </w:rPr>
        <w:t xml:space="preserve">Unterhalt ist ein Anspruch des Kindes; auf künftigen Kindesunterhalt kann nicht verzichtet werden (§ 1614 BGB). Beträge bitte im Einzelfall berechnen lassen, einen Richtwert gibt der Wechselmodell-Rechner auf elterntakt.de.</w:t>
      </w:r>
    </w:p>
    <w:p>
      <w:pPr>
        <w:pStyle w:val="Heading1"/>
      </w:pPr>
      <w:r>
        <w:rPr>
          <w:rFonts w:ascii="Arial" w:cs="Arial" w:eastAsia="Arial" w:hAnsi="Arial"/>
          <w:b/>
          <w:bCs/>
          <w:color w:val="7B3F4E"/>
          <w:sz w:val="25"/>
          <w:szCs w:val="25"/>
        </w:rPr>
        <w:t xml:space="preserve">8. Kommunikation</w:t>
      </w:r>
    </w:p>
    <w:p>
      <w:pPr>
        <w:spacing w:after="120"/>
      </w:pPr>
      <w:r>
        <w:rPr>
          <w:rFonts w:ascii="Arial" w:cs="Arial" w:eastAsia="Arial" w:hAnsi="Arial"/>
          <w:color w:val="6B6358"/>
          <w:sz w:val="19"/>
          <w:szCs w:val="19"/>
        </w:rPr>
        <w:t xml:space="preserve">Kanal für Routine und für Eilfälle, Reaktionszeit, Übergabe-Infos (Termine, Krankheit, Schule).</w:t>
      </w:r>
    </w:p>
    <w:p>
      <w:pPr>
        <w:pBdr>
          <w:bottom w:val="single" w:color="D6CDC0" w:sz="4" w:space="4"/>
        </w:pBdr>
        <w:spacing w:after="0" w:before="200"/>
      </w:pPr>
    </w:p>
    <w:p>
      <w:pPr>
        <w:pBdr>
          <w:bottom w:val="single" w:color="D6CDC0" w:sz="4" w:space="4"/>
        </w:pBdr>
        <w:spacing w:after="0" w:before="200"/>
      </w:pPr>
    </w:p>
    <w:p>
      <w:pPr>
        <w:pBdr>
          <w:bottom w:val="single" w:color="D6CDC0" w:sz="4" w:space="4"/>
        </w:pBdr>
        <w:spacing w:after="0" w:before="200"/>
      </w:pPr>
    </w:p>
    <w:p>
      <w:pPr>
        <w:pStyle w:val="Heading1"/>
      </w:pPr>
      <w:r>
        <w:rPr>
          <w:rFonts w:ascii="Arial" w:cs="Arial" w:eastAsia="Arial" w:hAnsi="Arial"/>
          <w:b/>
          <w:bCs/>
          <w:color w:val="7B3F4E"/>
          <w:sz w:val="25"/>
          <w:szCs w:val="25"/>
        </w:rPr>
        <w:t xml:space="preserve">9. Konflikte</w:t>
      </w:r>
    </w:p>
    <w:p>
      <w:pPr>
        <w:spacing w:after="120"/>
      </w:pPr>
      <w:r>
        <w:rPr>
          <w:rFonts w:ascii="Arial" w:cs="Arial" w:eastAsia="Arial" w:hAnsi="Arial"/>
          <w:color w:val="6B6358"/>
          <w:sz w:val="19"/>
          <w:szCs w:val="19"/>
        </w:rPr>
        <w:t xml:space="preserve">Gespräch → Beratung beim Jugendamt oder Mediation → Familiengericht als letzter Schritt.</w:t>
      </w:r>
    </w:p>
    <w:p>
      <w:pPr>
        <w:pBdr>
          <w:bottom w:val="single" w:color="D6CDC0" w:sz="4" w:space="4"/>
        </w:pBdr>
        <w:spacing w:after="0" w:before="200"/>
      </w:pPr>
    </w:p>
    <w:p>
      <w:pPr>
        <w:pBdr>
          <w:bottom w:val="single" w:color="D6CDC0" w:sz="4" w:space="4"/>
        </w:pBdr>
        <w:spacing w:after="0" w:before="200"/>
      </w:pPr>
    </w:p>
    <w:p>
      <w:pPr>
        <w:pStyle w:val="Heading1"/>
      </w:pPr>
      <w:r>
        <w:rPr>
          <w:rFonts w:ascii="Arial" w:cs="Arial" w:eastAsia="Arial" w:hAnsi="Arial"/>
          <w:b/>
          <w:bCs/>
          <w:color w:val="7B3F4E"/>
          <w:sz w:val="25"/>
          <w:szCs w:val="25"/>
        </w:rPr>
        <w:t xml:space="preserve">10. Änderung und Überprüfung</w:t>
      </w:r>
    </w:p>
    <w:p>
      <w:pPr>
        <w:spacing w:after="120"/>
      </w:pPr>
      <w:r>
        <w:rPr>
          <w:rFonts w:ascii="Arial" w:cs="Arial" w:eastAsia="Arial" w:hAnsi="Arial"/>
          <w:color w:val="6B6358"/>
          <w:sz w:val="19"/>
          <w:szCs w:val="19"/>
        </w:rPr>
        <w:t xml:space="preserve">Das Wechselmodell setzt Wohnortnähe voraus. Überprüfung regelmäßig und bei Anlässen wie Umzug, Schulwechsel, neuer Partnerschaft im Haushalt oder wenn das Kind den Rhythmus ändern möchte. Änderungen schriftlich.</w:t>
      </w:r>
    </w:p>
    <w:p>
      <w:pPr>
        <w:keepNext/>
        <w:spacing w:after="0" w:before="120"/>
      </w:pPr>
      <w:r>
        <w:rPr>
          <w:rFonts w:ascii="Arial" w:cs="Arial" w:eastAsia="Arial" w:hAnsi="Arial"/>
          <w:color w:val="6B6358"/>
          <w:sz w:val="19"/>
          <w:szCs w:val="19"/>
        </w:rPr>
        <w:t xml:space="preserve">Nächste Überprüfung am</w:t>
      </w:r>
    </w:p>
    <w:p>
      <w:pPr>
        <w:pBdr>
          <w:bottom w:val="single" w:color="1C1812" w:sz="6" w:space="4"/>
        </w:pBdr>
        <w:spacing w:after="80" w:before="240"/>
        <w:ind w:right="5248"/>
      </w:pPr>
    </w:p>
    <w:p>
      <w:pPr>
        <w:keepNext/>
        <w:spacing w:after="0" w:before="120"/>
      </w:pPr>
      <w:r>
        <w:rPr>
          <w:rFonts w:ascii="Arial" w:cs="Arial" w:eastAsia="Arial" w:hAnsi="Arial"/>
          <w:color w:val="6B6358"/>
          <w:sz w:val="19"/>
          <w:szCs w:val="19"/>
        </w:rPr>
        <w:t xml:space="preserve">Umzug ankündigen mindestens (Wochen vorher)</w:t>
      </w:r>
    </w:p>
    <w:p>
      <w:pPr>
        <w:pBdr>
          <w:bottom w:val="single" w:color="1C1812" w:sz="6" w:space="4"/>
        </w:pBdr>
        <w:spacing w:after="80" w:before="240"/>
        <w:ind w:right="4849"/>
      </w:pPr>
    </w:p>
    <w:p>
      <w:pPr>
        <w:pStyle w:val="Heading1"/>
      </w:pPr>
      <w:r>
        <w:rPr>
          <w:rFonts w:ascii="Arial" w:cs="Arial" w:eastAsia="Arial" w:hAnsi="Arial"/>
          <w:b/>
          <w:bCs/>
          <w:color w:val="7B3F4E"/>
          <w:sz w:val="25"/>
          <w:szCs w:val="25"/>
        </w:rPr>
        <w:t xml:space="preserve">11. Inkrafttreten · Unterschriften</w:t>
      </w:r>
    </w:p>
    <w:p>
      <w:pPr>
        <w:keepNext/>
        <w:spacing w:after="0" w:before="120"/>
      </w:pPr>
      <w:r>
        <w:rPr>
          <w:rFonts w:ascii="Arial" w:cs="Arial" w:eastAsia="Arial" w:hAnsi="Arial"/>
          <w:color w:val="6B6358"/>
          <w:sz w:val="19"/>
          <w:szCs w:val="19"/>
        </w:rPr>
        <w:t xml:space="preserve">Inkrafttreten (Datum)</w:t>
      </w:r>
    </w:p>
    <w:p>
      <w:pPr>
        <w:pBdr>
          <w:bottom w:val="single" w:color="1C1812" w:sz="6" w:space="4"/>
        </w:pBdr>
        <w:spacing w:after="80" w:before="240"/>
        <w:ind w:right="4849"/>
      </w:pPr>
    </w:p>
    <w:p>
      <w:pPr>
        <w:keepNext/>
        <w:spacing w:after="0" w:before="120"/>
      </w:pPr>
      <w:r>
        <w:rPr>
          <w:rFonts w:ascii="Arial" w:cs="Arial" w:eastAsia="Arial" w:hAnsi="Arial"/>
          <w:color w:val="6B6358"/>
          <w:sz w:val="19"/>
          <w:szCs w:val="19"/>
        </w:rPr>
        <w:t xml:space="preserve">Ort, Datum</w:t>
      </w:r>
    </w:p>
    <w:p>
      <w:pPr>
        <w:pBdr>
          <w:bottom w:val="single" w:color="1C1812" w:sz="6" w:space="4"/>
        </w:pBdr>
        <w:spacing w:after="80" w:before="240"/>
        <w:ind w:right="4849"/>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right w:type="dxa" w:w="240"/>
            </w:tcMar>
          </w:tcPr>
          <w:p>
            <w:pPr>
              <w:pBdr>
                <w:bottom w:val="single" w:color="1C1812" w:sz="6" w:space="4"/>
              </w:pBdr>
              <w:spacing w:after="0" w:before="720"/>
            </w:pPr>
          </w:p>
          <w:p>
            <w:pPr>
              <w:spacing w:before="60"/>
            </w:pPr>
            <w:r>
              <w:rPr>
                <w:rFonts w:ascii="Arial" w:cs="Arial" w:eastAsia="Arial" w:hAnsi="Arial"/>
                <w:color w:val="6B6358"/>
                <w:sz w:val="19"/>
                <w:szCs w:val="19"/>
              </w:rPr>
              <w:t xml:space="preserve">Unterschrift Elternteil A</w:t>
            </w:r>
          </w:p>
        </w:tc>
        <w:tc>
          <w:tcPr>
            <w:tcW w:type="dxa" w:w="4819"/>
            <w:tcBorders>
              <w:top w:val="none" w:color="FFFFFF" w:sz="0"/>
              <w:left w:val="none" w:color="FFFFFF" w:sz="0"/>
              <w:bottom w:val="none" w:color="FFFFFF" w:sz="0"/>
              <w:right w:val="none" w:color="FFFFFF" w:sz="0"/>
            </w:tcBorders>
            <w:tcMar>
              <w:right w:type="dxa" w:w="240"/>
            </w:tcMar>
          </w:tcPr>
          <w:p>
            <w:pPr>
              <w:pBdr>
                <w:bottom w:val="single" w:color="1C1812" w:sz="6" w:space="4"/>
              </w:pBdr>
              <w:spacing w:after="0" w:before="720"/>
            </w:pPr>
          </w:p>
          <w:p>
            <w:pPr>
              <w:spacing w:before="60"/>
            </w:pPr>
            <w:r>
              <w:rPr>
                <w:rFonts w:ascii="Arial" w:cs="Arial" w:eastAsia="Arial" w:hAnsi="Arial"/>
                <w:color w:val="6B6358"/>
                <w:sz w:val="19"/>
                <w:szCs w:val="19"/>
              </w:rPr>
              <w:t xml:space="preserve">Unterschrift Elternteil B</w:t>
            </w:r>
          </w:p>
        </w:tc>
      </w:tr>
    </w:tbl>
    <w:p>
      <w:pPr>
        <w:spacing w:before="360"/>
      </w:pPr>
      <w:r>
        <w:rPr>
          <w:rFonts w:ascii="Arial" w:cs="Arial" w:eastAsia="Arial" w:hAnsi="Arial"/>
          <w:i/>
          <w:iCs/>
          <w:color w:val="6B6358"/>
          <w:sz w:val="17"/>
          <w:szCs w:val="17"/>
        </w:rPr>
        <w:t xml:space="preserve">Keine Rechtsberatung. Eine privat unterschriebene Vereinbarung ist nicht vollstreckbar. Kindesunterhalt kann beim Jugendamt oder Notar beurkundet werden; eine Umgangsregelung kann das Familiengericht billigen (§ 156 Abs. 2 FamFG).</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6B6358"/>
        <w:sz w:val="16"/>
        <w:szCs w:val="16"/>
      </w:rPr>
      <w:t xml:space="preserve">elterntakt.de  ·  Keine Rechtsberatung  ·  Anpassbare Vorlage</w:t>
    </w:r>
    <w:r>
      <w:rPr>
        <w:rFonts w:ascii="Arial" w:cs="Arial" w:eastAsia="Arial" w:hAnsi="Arial"/>
        <w:color w:val="6B6358"/>
        <w:sz w:val="16"/>
        <w:szCs w:val="16"/>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pPr>
    <w:r>
      <w:rPr>
        <w:rFonts w:ascii="Arial" w:cs="Arial" w:eastAsia="Arial" w:hAnsi="Arial"/>
        <w:b/>
        <w:bCs/>
        <w:color w:val="7B3F4E"/>
        <w:sz w:val="20"/>
        <w:szCs w:val="20"/>
      </w:rPr>
      <w:t xml:space="preserve">Elterntakt</w:t>
    </w:r>
    <w:r>
      <w:rPr>
        <w:rFonts w:ascii="Arial" w:cs="Arial" w:eastAsia="Arial" w:hAnsi="Arial"/>
        <w:color w:val="6B6358"/>
        <w:sz w:val="15"/>
        <w:szCs w:val="15"/>
      </w:rPr>
      <w:t xml:space="preserve">	WECHSELMODELL · 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1812"/>
        <w:sz w:val="21"/>
        <w:szCs w:val="21"/>
      </w:rPr>
    </w:rPrDefault>
    <w:pPrDefault/>
  </w:docDefaults>
  <w:style w:type="paragraph" w:styleId="Title">
    <w:name w:val="Title"/>
    <w:basedOn w:val="Normal"/>
    <w:next w:val="Normal"/>
    <w:qFormat/>
    <w:pPr>
      <w:pBdr>
        <w:bottom w:val="single" w:color="7B3F4E" w:sz="12" w:space="6"/>
      </w:pBdr>
      <w:spacing w:after="160"/>
    </w:pPr>
    <w:rPr>
      <w:rFonts w:ascii="Arial" w:cs="Arial" w:eastAsia="Arial" w:hAnsi="Arial"/>
      <w:b/>
      <w:bCs/>
      <w:color w:val="1C1812"/>
      <w:sz w:val="36"/>
      <w:szCs w:val="36"/>
    </w:rPr>
  </w:style>
  <w:style w:type="paragraph" w:styleId="Heading1">
    <w:name w:val="Heading 1"/>
    <w:basedOn w:val="Normal"/>
    <w:next w:val="Normal"/>
    <w:qFormat/>
    <w:pPr>
      <w:keepNext/>
      <w:spacing w:after="80" w:before="320"/>
    </w:pPr>
    <w:rPr>
      <w:rFonts w:ascii="Arial" w:cs="Arial" w:eastAsia="Arial" w:hAnsi="Arial"/>
      <w:b/>
      <w:bCs/>
      <w:color w:val="7B3F4E"/>
      <w:sz w:val="25"/>
      <w:szCs w:val="25"/>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Elterntakt — Elternvereinbarung Wechselmodell — Deutschland</dc:title>
  <dc:creator>Elterntakt</dc:creator>
  <dc:description>Anpassbare Vorlage von elterntakt.de. Keine Rechtsberatung.</dc:description>
  <cp:lastModifiedBy>Un-named</cp:lastModifiedBy>
  <cp:revision>1</cp:revision>
  <dcterms:created xsi:type="dcterms:W3CDTF">2026-10-27T09:50:18.978Z</dcterms:created>
  <dcterms:modified xsi:type="dcterms:W3CDTF">2026-10-27T09:50:18.978Z</dcterms:modified>
</cp:coreProperties>
</file>

<file path=docProps/custom.xml><?xml version="1.0" encoding="utf-8"?>
<Properties xmlns="http://schemas.openxmlformats.org/officeDocument/2006/custom-properties" xmlns:vt="http://schemas.openxmlformats.org/officeDocument/2006/docPropsVTypes"/>
</file>